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NOCHE ROMÁNTICA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$ 689.000 COP POR PERSONA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4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2355"/>
        <w:gridCol w:w="2340"/>
        <w:tblGridChange w:id="0">
          <w:tblGrid>
            <w:gridCol w:w="276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ESTÁNDAR DOBLE</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$ 786.000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$ 689.000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$ 391.000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$ 342.000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JUNIOR SUITE DOBLE CON JACUZZI</w:t>
            </w:r>
          </w:p>
        </w:tc>
        <w:tc>
          <w:tcPr>
            <w:shd w:fill="bdd7ee" w:val="clear"/>
            <w:vAlign w:val="center"/>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$ 872.000</w:t>
            </w:r>
          </w:p>
        </w:tc>
        <w:tc>
          <w:tcPr>
            <w:shd w:fill="bdd7ee" w:val="clear"/>
            <w:vAlign w:val="center"/>
          </w:tcPr>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$ 762.000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$ 434.000</w:t>
            </w:r>
          </w:p>
        </w:tc>
        <w:tc>
          <w:tcPr>
            <w:vAlign w:val="center"/>
          </w:tcPr>
          <w:p w:rsidR="00000000" w:rsidDel="00000000" w:rsidP="00000000" w:rsidRDefault="00000000" w:rsidRPr="00000000" w14:paraId="00000015">
            <w:pPr>
              <w:jc w:val="center"/>
              <w:rPr>
                <w:b w:val="1"/>
              </w:rPr>
            </w:pPr>
            <w:r w:rsidDel="00000000" w:rsidR="00000000" w:rsidRPr="00000000">
              <w:rPr>
                <w:b w:val="1"/>
                <w:rtl w:val="0"/>
              </w:rPr>
              <w:t xml:space="preserve">$ 379.000</w:t>
            </w:r>
          </w:p>
        </w:tc>
      </w:tr>
    </w:tbl>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8">
      <w:pPr>
        <w:numPr>
          <w:ilvl w:val="0"/>
          <w:numId w:val="2"/>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9">
      <w:pPr>
        <w:numPr>
          <w:ilvl w:val="0"/>
          <w:numId w:val="2"/>
        </w:numPr>
        <w:spacing w:after="0" w:lineRule="auto"/>
        <w:ind w:left="720" w:hanging="360"/>
        <w:jc w:val="both"/>
        <w:rPr/>
      </w:pPr>
      <w:r w:rsidDel="00000000" w:rsidR="00000000" w:rsidRPr="00000000">
        <w:rPr>
          <w:rtl w:val="0"/>
        </w:rPr>
        <w:t xml:space="preserve">Desayuno diario.</w:t>
      </w:r>
    </w:p>
    <w:p w:rsidR="00000000" w:rsidDel="00000000" w:rsidP="00000000" w:rsidRDefault="00000000" w:rsidRPr="00000000" w14:paraId="0000001A">
      <w:pPr>
        <w:numPr>
          <w:ilvl w:val="0"/>
          <w:numId w:val="2"/>
        </w:numPr>
        <w:spacing w:after="0" w:lineRule="auto"/>
        <w:ind w:left="720" w:hanging="360"/>
        <w:jc w:val="both"/>
        <w:rPr>
          <w:u w:val="none"/>
        </w:rPr>
      </w:pPr>
      <w:r w:rsidDel="00000000" w:rsidR="00000000" w:rsidRPr="00000000">
        <w:rPr>
          <w:rtl w:val="0"/>
        </w:rPr>
        <w:t xml:space="preserve">Canasta de frutas.</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jc w:val="both"/>
        <w:rPr>
          <w:u w:val="none"/>
        </w:rPr>
      </w:pPr>
      <w:r w:rsidDel="00000000" w:rsidR="00000000" w:rsidRPr="00000000">
        <w:rPr>
          <w:rtl w:val="0"/>
        </w:rPr>
        <w:t xml:space="preserve">Botella de vino.</w:t>
      </w: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jc w:val="both"/>
        <w:rPr>
          <w:u w:val="none"/>
        </w:rPr>
      </w:pPr>
      <w:r w:rsidDel="00000000" w:rsidR="00000000" w:rsidRPr="00000000">
        <w:rPr>
          <w:rtl w:val="0"/>
        </w:rPr>
        <w:t xml:space="preserve">Pétalos de rosa.</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jc w:val="both"/>
        <w:rPr>
          <w:u w:val="none"/>
        </w:rPr>
      </w:pPr>
      <w:r w:rsidDel="00000000" w:rsidR="00000000" w:rsidRPr="00000000">
        <w:rPr>
          <w:rtl w:val="0"/>
        </w:rPr>
        <w:t xml:space="preserve">Zonas húmedas.</w:t>
      </w: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jc w:val="both"/>
        <w:rPr>
          <w:u w:val="none"/>
        </w:rPr>
      </w:pPr>
      <w:r w:rsidDel="00000000" w:rsidR="00000000" w:rsidRPr="00000000">
        <w:rPr>
          <w:rtl w:val="0"/>
        </w:rPr>
        <w:t xml:space="preserve">Parqueadero.</w:t>
      </w: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jc w:val="both"/>
        <w:rPr>
          <w:u w:val="none"/>
        </w:rPr>
      </w:pPr>
      <w:r w:rsidDel="00000000" w:rsidR="00000000" w:rsidRPr="00000000">
        <w:rPr>
          <w:rtl w:val="0"/>
        </w:rPr>
        <w:t xml:space="preserve">Wifi.</w:t>
      </w: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2">
      <w:pPr>
        <w:spacing w:after="0" w:lineRule="auto"/>
        <w:rPr>
          <w:b w:val="1"/>
        </w:rPr>
      </w:pPr>
      <w:r w:rsidDel="00000000" w:rsidR="00000000" w:rsidRPr="00000000">
        <w:rPr>
          <w:rtl w:val="0"/>
        </w:rPr>
      </w:r>
    </w:p>
    <w:p w:rsidR="00000000" w:rsidDel="00000000" w:rsidP="00000000" w:rsidRDefault="00000000" w:rsidRPr="00000000" w14:paraId="00000023">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4">
      <w:pPr>
        <w:numPr>
          <w:ilvl w:val="0"/>
          <w:numId w:val="1"/>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25">
      <w:pPr>
        <w:numPr>
          <w:ilvl w:val="0"/>
          <w:numId w:val="1"/>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26">
      <w:pPr>
        <w:spacing w:after="0" w:line="276" w:lineRule="auto"/>
        <w:ind w:left="0" w:firstLine="0"/>
        <w:rPr/>
      </w:pPr>
      <w:r w:rsidDel="00000000" w:rsidR="00000000" w:rsidRPr="00000000">
        <w:rPr>
          <w:rtl w:val="0"/>
        </w:rPr>
      </w:r>
    </w:p>
    <w:p w:rsidR="00000000" w:rsidDel="00000000" w:rsidP="00000000" w:rsidRDefault="00000000" w:rsidRPr="00000000" w14:paraId="00000027">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28">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2024 al 8  Enero 2025.</w:t>
      </w:r>
    </w:p>
    <w:p w:rsidR="00000000" w:rsidDel="00000000" w:rsidP="00000000" w:rsidRDefault="00000000" w:rsidRPr="00000000" w14:paraId="00000029">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Doble (2 pax) cama Doble matrimonial.</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Rule="auto"/>
        <w:jc w:val="center"/>
        <w:rPr/>
      </w:pPr>
      <w:r w:rsidDel="00000000" w:rsidR="00000000" w:rsidRPr="00000000">
        <w:rPr>
          <w:rtl w:val="0"/>
        </w:rPr>
      </w:r>
    </w:p>
    <w:p w:rsidR="00000000" w:rsidDel="00000000" w:rsidP="00000000" w:rsidRDefault="00000000" w:rsidRPr="00000000" w14:paraId="0000002C">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D">
      <w:pPr>
        <w:spacing w:after="0" w:lineRule="auto"/>
        <w:jc w:val="center"/>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3">
      <w:pPr>
        <w:spacing w:after="0" w:lineRule="auto"/>
        <w:jc w:val="both"/>
        <w:rPr/>
      </w:pP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3">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7">
      <w:pPr>
        <w:spacing w:after="0" w:lineRule="auto"/>
        <w:jc w:val="both"/>
        <w:rPr>
          <w:b w:val="1"/>
        </w:rPr>
      </w:pPr>
      <w:r w:rsidDel="00000000" w:rsidR="00000000" w:rsidRPr="00000000">
        <w:rPr>
          <w:rtl w:val="0"/>
        </w:rPr>
      </w:r>
    </w:p>
    <w:p w:rsidR="00000000" w:rsidDel="00000000" w:rsidP="00000000" w:rsidRDefault="00000000" w:rsidRPr="00000000" w14:paraId="00000048">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9">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B">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D">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F">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0">
      <w:pPr>
        <w:spacing w:after="0" w:lineRule="auto"/>
        <w:jc w:val="both"/>
        <w:rPr>
          <w:b w:val="1"/>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3">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4">
      <w:pPr>
        <w:spacing w:after="0" w:lineRule="auto"/>
        <w:jc w:val="both"/>
        <w:rPr>
          <w:b w:val="1"/>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B">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C">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0">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1">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2">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3">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7">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8">
      <w:pPr>
        <w:spacing w:after="0" w:lineRule="auto"/>
        <w:jc w:val="both"/>
        <w:rPr/>
      </w:pP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C">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D">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E">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F">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1">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2">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3">
      <w:pPr>
        <w:spacing w:after="0" w:lineRule="auto"/>
        <w:jc w:val="both"/>
        <w:rPr/>
      </w:pPr>
      <w:r w:rsidDel="00000000" w:rsidR="00000000" w:rsidRPr="00000000">
        <w:rPr>
          <w:rtl w:val="0"/>
        </w:rPr>
        <w:t xml:space="preserve"> </w:t>
      </w:r>
    </w:p>
    <w:p w:rsidR="00000000" w:rsidDel="00000000" w:rsidP="00000000" w:rsidRDefault="00000000" w:rsidRPr="00000000" w14:paraId="00000074">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8">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9">
      <w:pPr>
        <w:spacing w:after="0" w:lineRule="auto"/>
        <w:jc w:val="both"/>
        <w:rPr>
          <w:b w:val="1"/>
        </w:rPr>
      </w:pPr>
      <w:r w:rsidDel="00000000" w:rsidR="00000000" w:rsidRPr="00000000">
        <w:rPr>
          <w:rtl w:val="0"/>
        </w:rPr>
      </w:r>
    </w:p>
    <w:p w:rsidR="00000000" w:rsidDel="00000000" w:rsidP="00000000" w:rsidRDefault="00000000" w:rsidRPr="00000000" w14:paraId="0000007A">
      <w:pPr>
        <w:spacing w:after="0" w:lineRule="auto"/>
        <w:jc w:val="both"/>
        <w:rPr>
          <w:b w:val="1"/>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D">
      <w:pPr>
        <w:spacing w:after="0" w:lineRule="auto"/>
        <w:jc w:val="both"/>
        <w:rPr>
          <w:b w:val="1"/>
        </w:rPr>
      </w:pP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0">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1">
      <w:pPr>
        <w:spacing w:after="0" w:lineRule="auto"/>
        <w:jc w:val="both"/>
        <w:rPr/>
      </w:pP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7">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A">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5USkFjUsAUi4iHNvn+VL0ri5OA==">CgMxLjAyCGguZ2pkZ3hzOAByITEwamdqSjI0c3J3MENRMHF4Q21Zc0JRdERwOEprdzFrYQ==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